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AA6" w:rsidRDefault="00D33AA6" w:rsidP="008763DB">
      <w:pPr>
        <w:pStyle w:val="NoSpacing"/>
        <w:rPr>
          <w:b/>
          <w:u w:val="single"/>
        </w:rPr>
      </w:pPr>
      <w:bookmarkStart w:id="0" w:name="_GoBack"/>
      <w:bookmarkEnd w:id="0"/>
    </w:p>
    <w:p w:rsidR="00D33AA6" w:rsidRDefault="00D33AA6" w:rsidP="00D33AA6">
      <w:pPr>
        <w:pStyle w:val="NoSpacing"/>
        <w:jc w:val="center"/>
        <w:rPr>
          <w:b/>
          <w:u w:val="single"/>
        </w:rPr>
      </w:pPr>
      <w:r>
        <w:rPr>
          <w:noProof/>
          <w:lang w:eastAsia="en-GB"/>
        </w:rPr>
        <w:drawing>
          <wp:inline distT="0" distB="0" distL="0" distR="0" wp14:anchorId="446BAC2B" wp14:editId="71B8C369">
            <wp:extent cx="1496291" cy="821493"/>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963" cy="822960"/>
                    </a:xfrm>
                    <a:prstGeom prst="rect">
                      <a:avLst/>
                    </a:prstGeom>
                    <a:noFill/>
                    <a:ln>
                      <a:noFill/>
                    </a:ln>
                  </pic:spPr>
                </pic:pic>
              </a:graphicData>
            </a:graphic>
          </wp:inline>
        </w:drawing>
      </w:r>
    </w:p>
    <w:p w:rsidR="00A24132" w:rsidRDefault="008763DB" w:rsidP="008763DB">
      <w:pPr>
        <w:pStyle w:val="NoSpacing"/>
        <w:rPr>
          <w:b/>
          <w:u w:val="single"/>
        </w:rPr>
      </w:pPr>
      <w:r w:rsidRPr="00FA5177">
        <w:rPr>
          <w:b/>
          <w:u w:val="single"/>
        </w:rPr>
        <w:t>Gender Pay Gap Reporting</w:t>
      </w:r>
      <w:r w:rsidR="00677C57">
        <w:rPr>
          <w:b/>
          <w:u w:val="single"/>
        </w:rPr>
        <w:t xml:space="preserve"> Statement</w:t>
      </w:r>
      <w:r w:rsidRPr="00FA5177">
        <w:rPr>
          <w:b/>
          <w:u w:val="single"/>
        </w:rPr>
        <w:t xml:space="preserve"> 201</w:t>
      </w:r>
      <w:r w:rsidR="00A24132">
        <w:rPr>
          <w:b/>
          <w:u w:val="single"/>
        </w:rPr>
        <w:t>9</w:t>
      </w:r>
    </w:p>
    <w:p w:rsidR="008763DB" w:rsidRDefault="008763DB" w:rsidP="008763DB">
      <w:pPr>
        <w:pStyle w:val="NoSpacing"/>
      </w:pPr>
    </w:p>
    <w:p w:rsidR="008763DB" w:rsidRPr="002B162B" w:rsidRDefault="008763DB" w:rsidP="008763DB">
      <w:pPr>
        <w:pStyle w:val="NoSpacing"/>
        <w:rPr>
          <w:b/>
        </w:rPr>
      </w:pPr>
      <w:r w:rsidRPr="00AB0CDE">
        <w:rPr>
          <w:b/>
        </w:rPr>
        <w:t xml:space="preserve">Hard Rock </w:t>
      </w:r>
      <w:r w:rsidR="00D33AA6">
        <w:rPr>
          <w:b/>
        </w:rPr>
        <w:t>Cafe</w:t>
      </w:r>
      <w:r>
        <w:t xml:space="preserve"> </w:t>
      </w:r>
      <w:r w:rsidRPr="002B162B">
        <w:rPr>
          <w:b/>
        </w:rPr>
        <w:t>–</w:t>
      </w:r>
      <w:r w:rsidR="003B33EB" w:rsidRPr="002B162B">
        <w:rPr>
          <w:b/>
        </w:rPr>
        <w:t xml:space="preserve"> (</w:t>
      </w:r>
      <w:r w:rsidR="002B162B" w:rsidRPr="002B162B">
        <w:rPr>
          <w:b/>
        </w:rPr>
        <w:t>Hard Rock Cafe London</w:t>
      </w:r>
      <w:r w:rsidR="00AF736B">
        <w:rPr>
          <w:b/>
        </w:rPr>
        <w:t xml:space="preserve"> – Old Park Lane &amp; Piccadilly Circus</w:t>
      </w:r>
      <w:r w:rsidR="002B162B" w:rsidRPr="002B162B">
        <w:rPr>
          <w:b/>
        </w:rPr>
        <w:t>, Edinburgh, Manchester, Glasgow and Hard Rock International Corporate Team)</w:t>
      </w:r>
    </w:p>
    <w:p w:rsidR="008763DB" w:rsidRDefault="008763DB" w:rsidP="008763DB">
      <w:pPr>
        <w:pStyle w:val="NoSpacing"/>
      </w:pPr>
    </w:p>
    <w:p w:rsidR="008763DB" w:rsidRDefault="008763DB" w:rsidP="008763DB">
      <w:pPr>
        <w:pStyle w:val="NoSpacing"/>
      </w:pPr>
      <w:r>
        <w:t>We are an employer required by law to carry out Gender Pay Reporting under the Equality Act 2010 (Gender Pay Gap Information) Regulation 2017.</w:t>
      </w:r>
    </w:p>
    <w:p w:rsidR="008763DB" w:rsidRDefault="008763DB" w:rsidP="008763DB">
      <w:pPr>
        <w:pStyle w:val="NoSpacing"/>
      </w:pPr>
    </w:p>
    <w:p w:rsidR="008763DB" w:rsidRDefault="008763DB" w:rsidP="009E3D3E">
      <w:pPr>
        <w:pStyle w:val="NoSpacing"/>
      </w:pPr>
      <w:r>
        <w:t>As an employer with a workforce of more than 250 plus in the UK on the 5</w:t>
      </w:r>
      <w:r w:rsidRPr="00B6370C">
        <w:rPr>
          <w:vertAlign w:val="superscript"/>
        </w:rPr>
        <w:t>th</w:t>
      </w:r>
      <w:r>
        <w:t xml:space="preserve"> April 201</w:t>
      </w:r>
      <w:r w:rsidR="00A24132">
        <w:t>9</w:t>
      </w:r>
      <w:r>
        <w:t>, we must comply with new statutory provisions regarding gender pay reporting.  This involves carrying out six calculations that show the difference between the average earnings of men and women in our organisation; it will not involve publishing individual employee’s data.</w:t>
      </w:r>
    </w:p>
    <w:p w:rsidR="008763DB" w:rsidRDefault="008763DB" w:rsidP="009E3D3E">
      <w:pPr>
        <w:pStyle w:val="NoSpacing"/>
      </w:pPr>
    </w:p>
    <w:p w:rsidR="008763DB" w:rsidRDefault="008763DB" w:rsidP="009E3D3E">
      <w:pPr>
        <w:pStyle w:val="NoSpacing"/>
      </w:pPr>
      <w:r>
        <w:t>We are required to publish the results on our own website and a government website and will do this within one calendar year of 5</w:t>
      </w:r>
      <w:r w:rsidRPr="00FA5177">
        <w:rPr>
          <w:vertAlign w:val="superscript"/>
        </w:rPr>
        <w:t>th</w:t>
      </w:r>
      <w:r>
        <w:t xml:space="preserve"> April 201</w:t>
      </w:r>
      <w:r w:rsidR="00A24132">
        <w:t>9</w:t>
      </w:r>
      <w:r w:rsidR="00AB0CDE">
        <w:t xml:space="preserve"> using</w:t>
      </w:r>
      <w:r w:rsidR="003B33EB">
        <w:t xml:space="preserve"> our</w:t>
      </w:r>
      <w:r w:rsidR="00AB0CDE">
        <w:t xml:space="preserve"> HR and payroll data</w:t>
      </w:r>
      <w:r>
        <w:t xml:space="preserve">.  </w:t>
      </w:r>
    </w:p>
    <w:p w:rsidR="008763DB" w:rsidRDefault="008763DB" w:rsidP="009E3D3E">
      <w:pPr>
        <w:pStyle w:val="NoSpacing"/>
      </w:pPr>
    </w:p>
    <w:p w:rsidR="008763DB" w:rsidRPr="008763DB" w:rsidRDefault="008763DB" w:rsidP="009E3D3E">
      <w:pPr>
        <w:pStyle w:val="NoSpacing"/>
        <w:rPr>
          <w:b/>
          <w:u w:val="single"/>
        </w:rPr>
      </w:pPr>
      <w:r w:rsidRPr="008763DB">
        <w:rPr>
          <w:b/>
          <w:u w:val="single"/>
        </w:rPr>
        <w:t>Results</w:t>
      </w:r>
    </w:p>
    <w:p w:rsidR="008763DB" w:rsidRDefault="008763DB" w:rsidP="009E3D3E">
      <w:pPr>
        <w:pStyle w:val="NoSpacing"/>
      </w:pPr>
    </w:p>
    <w:p w:rsidR="008763DB" w:rsidRDefault="008763DB" w:rsidP="009E3D3E">
      <w:pPr>
        <w:pStyle w:val="NoSpacing"/>
        <w:rPr>
          <w:b/>
        </w:rPr>
      </w:pPr>
      <w:r w:rsidRPr="008763DB">
        <w:rPr>
          <w:b/>
        </w:rPr>
        <w:t>Mean Gender Pay Gap</w:t>
      </w:r>
      <w:r w:rsidR="00AF736B">
        <w:rPr>
          <w:b/>
        </w:rPr>
        <w:tab/>
      </w:r>
      <w:r w:rsidR="00AF736B">
        <w:rPr>
          <w:b/>
        </w:rPr>
        <w:tab/>
      </w:r>
      <w:r w:rsidR="00AF736B">
        <w:rPr>
          <w:b/>
        </w:rPr>
        <w:tab/>
        <w:t>-0.2%</w:t>
      </w:r>
    </w:p>
    <w:p w:rsidR="008763DB" w:rsidRDefault="008763DB" w:rsidP="009E3D3E">
      <w:pPr>
        <w:pStyle w:val="NoSpacing"/>
        <w:rPr>
          <w:b/>
        </w:rPr>
      </w:pPr>
    </w:p>
    <w:p w:rsidR="008763DB" w:rsidRDefault="008763DB" w:rsidP="009E3D3E">
      <w:pPr>
        <w:pStyle w:val="NoSpacing"/>
        <w:rPr>
          <w:b/>
        </w:rPr>
      </w:pPr>
      <w:r>
        <w:rPr>
          <w:b/>
        </w:rPr>
        <w:t>Median Gender Pay Gap</w:t>
      </w:r>
      <w:r w:rsidR="00AF736B">
        <w:rPr>
          <w:b/>
        </w:rPr>
        <w:tab/>
      </w:r>
      <w:r w:rsidR="00AF736B">
        <w:rPr>
          <w:b/>
        </w:rPr>
        <w:tab/>
        <w:t>2.5%</w:t>
      </w:r>
    </w:p>
    <w:p w:rsidR="008763DB" w:rsidRDefault="008763DB" w:rsidP="009E3D3E">
      <w:pPr>
        <w:pStyle w:val="NoSpacing"/>
        <w:rPr>
          <w:b/>
        </w:rPr>
      </w:pPr>
    </w:p>
    <w:p w:rsidR="008763DB" w:rsidRDefault="00AF736B" w:rsidP="009E3D3E">
      <w:pPr>
        <w:pStyle w:val="NoSpacing"/>
        <w:rPr>
          <w:b/>
        </w:rPr>
      </w:pPr>
      <w:r>
        <w:rPr>
          <w:b/>
        </w:rPr>
        <w:t>Mean Bonus Gender Pay Gap</w:t>
      </w:r>
      <w:r>
        <w:rPr>
          <w:b/>
        </w:rPr>
        <w:tab/>
      </w:r>
      <w:r>
        <w:rPr>
          <w:b/>
        </w:rPr>
        <w:tab/>
        <w:t>-15.9</w:t>
      </w:r>
      <w:r w:rsidR="008763DB">
        <w:rPr>
          <w:b/>
        </w:rPr>
        <w:t>%</w:t>
      </w:r>
    </w:p>
    <w:p w:rsidR="008763DB" w:rsidRDefault="008763DB" w:rsidP="009E3D3E">
      <w:pPr>
        <w:pStyle w:val="NoSpacing"/>
        <w:rPr>
          <w:b/>
        </w:rPr>
      </w:pPr>
    </w:p>
    <w:p w:rsidR="008763DB" w:rsidRPr="008763DB" w:rsidRDefault="008763DB" w:rsidP="009E3D3E">
      <w:pPr>
        <w:pStyle w:val="NoSpacing"/>
        <w:rPr>
          <w:b/>
        </w:rPr>
      </w:pPr>
      <w:r>
        <w:rPr>
          <w:b/>
        </w:rPr>
        <w:t>Median Bonus Gender Pay Gap</w:t>
      </w:r>
      <w:r w:rsidR="004F1C35">
        <w:rPr>
          <w:b/>
        </w:rPr>
        <w:tab/>
      </w:r>
      <w:r w:rsidR="004F1C35">
        <w:rPr>
          <w:b/>
        </w:rPr>
        <w:tab/>
      </w:r>
      <w:r w:rsidR="008E371F">
        <w:rPr>
          <w:b/>
        </w:rPr>
        <w:t>-</w:t>
      </w:r>
      <w:r w:rsidR="00AF736B">
        <w:rPr>
          <w:b/>
        </w:rPr>
        <w:t>3.3</w:t>
      </w:r>
      <w:r>
        <w:rPr>
          <w:b/>
        </w:rPr>
        <w:t>%</w:t>
      </w:r>
    </w:p>
    <w:p w:rsidR="00CC0F1C" w:rsidRDefault="00CC0F1C" w:rsidP="009E3D3E">
      <w:pPr>
        <w:pStyle w:val="NoSpacing"/>
      </w:pPr>
    </w:p>
    <w:p w:rsidR="008763DB" w:rsidRDefault="009E3D3E" w:rsidP="009E3D3E">
      <w:pPr>
        <w:pStyle w:val="NoSpacing"/>
        <w:rPr>
          <w:b/>
        </w:rPr>
      </w:pPr>
      <w:r w:rsidRPr="009E3D3E">
        <w:rPr>
          <w:b/>
        </w:rPr>
        <w:t>Proportions</w:t>
      </w:r>
      <w:r w:rsidR="008763DB" w:rsidRPr="009E3D3E">
        <w:rPr>
          <w:b/>
        </w:rPr>
        <w:t xml:space="preserve"> of Males &amp; Females Re</w:t>
      </w:r>
      <w:r w:rsidRPr="009E3D3E">
        <w:rPr>
          <w:b/>
        </w:rPr>
        <w:t>ceiving a Bonus Payment</w:t>
      </w:r>
      <w:r w:rsidR="00DE019D">
        <w:rPr>
          <w:b/>
        </w:rPr>
        <w:t>:</w:t>
      </w:r>
    </w:p>
    <w:p w:rsidR="009E3D3E" w:rsidRDefault="009E3D3E" w:rsidP="009E3D3E">
      <w:pPr>
        <w:pStyle w:val="NoSpacing"/>
        <w:rPr>
          <w:b/>
        </w:rPr>
      </w:pPr>
    </w:p>
    <w:p w:rsidR="009E3D3E" w:rsidRDefault="009E3D3E" w:rsidP="009E3D3E">
      <w:pPr>
        <w:pStyle w:val="NoSpacing"/>
        <w:numPr>
          <w:ilvl w:val="0"/>
          <w:numId w:val="2"/>
        </w:numPr>
        <w:ind w:left="1701"/>
        <w:rPr>
          <w:b/>
        </w:rPr>
      </w:pPr>
      <w:r>
        <w:rPr>
          <w:b/>
        </w:rPr>
        <w:t>Male</w:t>
      </w:r>
      <w:r w:rsidR="004F1C35">
        <w:rPr>
          <w:b/>
        </w:rPr>
        <w:tab/>
      </w:r>
      <w:r w:rsidR="004F1C35">
        <w:rPr>
          <w:b/>
        </w:rPr>
        <w:tab/>
      </w:r>
      <w:r w:rsidR="00AF736B">
        <w:rPr>
          <w:b/>
        </w:rPr>
        <w:t>15.8</w:t>
      </w:r>
      <w:r>
        <w:rPr>
          <w:b/>
        </w:rPr>
        <w:t>%</w:t>
      </w:r>
    </w:p>
    <w:p w:rsidR="009E3D3E" w:rsidRDefault="009E3D3E" w:rsidP="009E3D3E">
      <w:pPr>
        <w:pStyle w:val="NoSpacing"/>
        <w:numPr>
          <w:ilvl w:val="0"/>
          <w:numId w:val="2"/>
        </w:numPr>
        <w:ind w:left="1701"/>
        <w:rPr>
          <w:b/>
        </w:rPr>
      </w:pPr>
      <w:r>
        <w:rPr>
          <w:b/>
        </w:rPr>
        <w:t xml:space="preserve">Female </w:t>
      </w:r>
      <w:r w:rsidR="00AB0CDE">
        <w:rPr>
          <w:b/>
        </w:rPr>
        <w:tab/>
      </w:r>
      <w:r w:rsidR="00AF736B">
        <w:rPr>
          <w:b/>
        </w:rPr>
        <w:tab/>
        <w:t>25.2</w:t>
      </w:r>
      <w:r>
        <w:rPr>
          <w:b/>
        </w:rPr>
        <w:t>%</w:t>
      </w:r>
    </w:p>
    <w:p w:rsidR="009E3D3E" w:rsidRDefault="009E3D3E" w:rsidP="009E3D3E">
      <w:pPr>
        <w:pStyle w:val="NoSpacing"/>
        <w:rPr>
          <w:b/>
        </w:rPr>
      </w:pPr>
    </w:p>
    <w:p w:rsidR="009E3D3E" w:rsidRDefault="009E3D3E" w:rsidP="009E3D3E">
      <w:pPr>
        <w:pStyle w:val="NoSpacing"/>
        <w:rPr>
          <w:b/>
          <w:u w:val="single"/>
        </w:rPr>
      </w:pPr>
      <w:r w:rsidRPr="009E3D3E">
        <w:rPr>
          <w:b/>
          <w:u w:val="single"/>
        </w:rPr>
        <w:t>Quartiles</w:t>
      </w:r>
    </w:p>
    <w:p w:rsidR="009E3D3E" w:rsidRPr="009E3D3E" w:rsidRDefault="00633511" w:rsidP="009E3D3E">
      <w:pPr>
        <w:pStyle w:val="NoSpacing"/>
        <w:rPr>
          <w:b/>
          <w:u w:val="single"/>
        </w:rPr>
      </w:pPr>
      <w:r>
        <w:rPr>
          <w:b/>
          <w:noProof/>
          <w:u w:val="single"/>
          <w:lang w:eastAsia="en-GB"/>
        </w:rPr>
        <w:drawing>
          <wp:inline distT="0" distB="0" distL="0" distR="0" wp14:anchorId="1527771D" wp14:editId="26115B3E">
            <wp:extent cx="2339340" cy="1577340"/>
            <wp:effectExtent l="0" t="0" r="381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b/>
          <w:noProof/>
          <w:u w:val="single"/>
          <w:lang w:eastAsia="en-GB"/>
        </w:rPr>
        <w:drawing>
          <wp:inline distT="0" distB="0" distL="0" distR="0" wp14:anchorId="02E62CD9" wp14:editId="535333B5">
            <wp:extent cx="2255520" cy="160782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3D3E" w:rsidRDefault="00AB0CDE" w:rsidP="009E3D3E">
      <w:pPr>
        <w:pStyle w:val="NoSpacing"/>
        <w:rPr>
          <w:b/>
        </w:rPr>
      </w:pPr>
      <w:r>
        <w:rPr>
          <w:b/>
          <w:noProof/>
          <w:lang w:eastAsia="en-GB"/>
        </w:rPr>
        <w:drawing>
          <wp:inline distT="0" distB="0" distL="0" distR="0" wp14:anchorId="0998929F" wp14:editId="3D3D9968">
            <wp:extent cx="2362200" cy="1554480"/>
            <wp:effectExtent l="0" t="0" r="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D4436">
        <w:rPr>
          <w:b/>
          <w:noProof/>
          <w:lang w:eastAsia="en-GB"/>
        </w:rPr>
        <w:drawing>
          <wp:inline distT="0" distB="0" distL="0" distR="0">
            <wp:extent cx="2240280" cy="1546860"/>
            <wp:effectExtent l="0" t="0" r="762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33EB" w:rsidRDefault="003B33EB" w:rsidP="009E3D3E">
      <w:pPr>
        <w:pStyle w:val="NoSpacing"/>
      </w:pPr>
    </w:p>
    <w:p w:rsidR="009E3D3E" w:rsidRPr="003B33EB" w:rsidRDefault="003B33EB" w:rsidP="009E3D3E">
      <w:pPr>
        <w:pStyle w:val="NoSpacing"/>
      </w:pPr>
      <w:r>
        <w:t xml:space="preserve">The results above are based on </w:t>
      </w:r>
      <w:r w:rsidR="00AF736B">
        <w:t>421</w:t>
      </w:r>
      <w:r>
        <w:t xml:space="preserve"> employees – </w:t>
      </w:r>
      <w:r w:rsidR="00AF736B">
        <w:t>266</w:t>
      </w:r>
      <w:r>
        <w:t xml:space="preserve"> Male (6</w:t>
      </w:r>
      <w:r w:rsidR="003A6A14">
        <w:t>3</w:t>
      </w:r>
      <w:r>
        <w:t>.</w:t>
      </w:r>
      <w:r w:rsidR="003A6A14">
        <w:t>2</w:t>
      </w:r>
      <w:r>
        <w:t xml:space="preserve">%) and </w:t>
      </w:r>
      <w:r w:rsidR="00AF736B">
        <w:t>155</w:t>
      </w:r>
      <w:r>
        <w:t xml:space="preserve"> Female (</w:t>
      </w:r>
      <w:r w:rsidR="003A6A14">
        <w:t>36</w:t>
      </w:r>
      <w:r>
        <w:t>.</w:t>
      </w:r>
      <w:r w:rsidR="003A6A14">
        <w:t>8</w:t>
      </w:r>
      <w:r>
        <w:t>%).</w:t>
      </w:r>
    </w:p>
    <w:sectPr w:rsidR="009E3D3E" w:rsidRPr="003B33EB" w:rsidSect="00D33AA6">
      <w:headerReference w:type="default" r:id="rId13"/>
      <w:pgSz w:w="11906" w:h="16838"/>
      <w:pgMar w:top="-152"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C6D" w:rsidRDefault="00017C6D" w:rsidP="00D33AA6">
      <w:pPr>
        <w:spacing w:after="0" w:line="240" w:lineRule="auto"/>
      </w:pPr>
      <w:r>
        <w:separator/>
      </w:r>
    </w:p>
  </w:endnote>
  <w:endnote w:type="continuationSeparator" w:id="0">
    <w:p w:rsidR="00017C6D" w:rsidRDefault="00017C6D" w:rsidP="00D3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C6D" w:rsidRDefault="00017C6D" w:rsidP="00D33AA6">
      <w:pPr>
        <w:spacing w:after="0" w:line="240" w:lineRule="auto"/>
      </w:pPr>
      <w:r>
        <w:separator/>
      </w:r>
    </w:p>
  </w:footnote>
  <w:footnote w:type="continuationSeparator" w:id="0">
    <w:p w:rsidR="00017C6D" w:rsidRDefault="00017C6D" w:rsidP="00D33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A6" w:rsidRDefault="00D33AA6" w:rsidP="00D33A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81B"/>
    <w:multiLevelType w:val="hybridMultilevel"/>
    <w:tmpl w:val="E0A0E6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3A0E7870"/>
    <w:multiLevelType w:val="hybridMultilevel"/>
    <w:tmpl w:val="7B40A33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DB"/>
    <w:rsid w:val="00017C6D"/>
    <w:rsid w:val="00280FCD"/>
    <w:rsid w:val="002B162B"/>
    <w:rsid w:val="0035524E"/>
    <w:rsid w:val="003A6A14"/>
    <w:rsid w:val="003B33EB"/>
    <w:rsid w:val="004F1C35"/>
    <w:rsid w:val="00633511"/>
    <w:rsid w:val="00677C57"/>
    <w:rsid w:val="008763DB"/>
    <w:rsid w:val="008E371F"/>
    <w:rsid w:val="009B145B"/>
    <w:rsid w:val="009E3D3E"/>
    <w:rsid w:val="00A24132"/>
    <w:rsid w:val="00A37649"/>
    <w:rsid w:val="00AB0CDE"/>
    <w:rsid w:val="00AD0F9F"/>
    <w:rsid w:val="00AF736B"/>
    <w:rsid w:val="00B0452C"/>
    <w:rsid w:val="00BA0BD3"/>
    <w:rsid w:val="00C26814"/>
    <w:rsid w:val="00C807F0"/>
    <w:rsid w:val="00C97F10"/>
    <w:rsid w:val="00CC0F1C"/>
    <w:rsid w:val="00D33AA6"/>
    <w:rsid w:val="00D5584F"/>
    <w:rsid w:val="00DE019D"/>
    <w:rsid w:val="00E31FFD"/>
    <w:rsid w:val="00F65C66"/>
    <w:rsid w:val="00FD4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0B4F0-6501-40B9-AF8B-568A394A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649"/>
  </w:style>
  <w:style w:type="paragraph" w:styleId="Heading1">
    <w:name w:val="heading 1"/>
    <w:basedOn w:val="Normal"/>
    <w:next w:val="Normal"/>
    <w:link w:val="Heading1Char"/>
    <w:uiPriority w:val="9"/>
    <w:qFormat/>
    <w:rsid w:val="00A37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76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76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76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7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76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37649"/>
    <w:rPr>
      <w:rFonts w:asciiTheme="majorHAnsi" w:eastAsiaTheme="majorEastAsia" w:hAnsiTheme="majorHAnsi" w:cstheme="majorBidi"/>
      <w:b/>
      <w:bCs/>
      <w:i/>
      <w:iCs/>
      <w:color w:val="4F81BD" w:themeColor="accent1"/>
    </w:rPr>
  </w:style>
  <w:style w:type="paragraph" w:styleId="NoSpacing">
    <w:name w:val="No Spacing"/>
    <w:uiPriority w:val="1"/>
    <w:qFormat/>
    <w:rsid w:val="00A37649"/>
    <w:pPr>
      <w:spacing w:after="0" w:line="240" w:lineRule="auto"/>
    </w:pPr>
  </w:style>
  <w:style w:type="paragraph" w:styleId="BalloonText">
    <w:name w:val="Balloon Text"/>
    <w:basedOn w:val="Normal"/>
    <w:link w:val="BalloonTextChar"/>
    <w:uiPriority w:val="99"/>
    <w:semiHidden/>
    <w:unhideWhenUsed/>
    <w:rsid w:val="009E3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D3E"/>
    <w:rPr>
      <w:rFonts w:ascii="Tahoma" w:hAnsi="Tahoma" w:cs="Tahoma"/>
      <w:sz w:val="16"/>
      <w:szCs w:val="16"/>
    </w:rPr>
  </w:style>
  <w:style w:type="paragraph" w:styleId="Header">
    <w:name w:val="header"/>
    <w:basedOn w:val="Normal"/>
    <w:link w:val="HeaderChar"/>
    <w:uiPriority w:val="99"/>
    <w:unhideWhenUsed/>
    <w:rsid w:val="00D33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AA6"/>
  </w:style>
  <w:style w:type="paragraph" w:styleId="Footer">
    <w:name w:val="footer"/>
    <w:basedOn w:val="Normal"/>
    <w:link w:val="FooterChar"/>
    <w:uiPriority w:val="99"/>
    <w:unhideWhenUsed/>
    <w:rsid w:val="00D33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Proportion of Different Genders in Lower Quartile</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Proportion of Difference Genders in Lower Quartile</c:v>
                </c:pt>
              </c:strCache>
            </c:strRef>
          </c:tx>
          <c:dPt>
            <c:idx val="1"/>
            <c:bubble3D val="0"/>
            <c:spPr>
              <a:solidFill>
                <a:schemeClr val="accent2">
                  <a:lumMod val="40000"/>
                  <a:lumOff val="60000"/>
                </a:schemeClr>
              </a:solidFill>
            </c:spPr>
            <c:extLst>
              <c:ext xmlns:c16="http://schemas.microsoft.com/office/drawing/2014/chart" uri="{C3380CC4-5D6E-409C-BE32-E72D297353CC}">
                <c16:uniqueId val="{00000001-003E-4466-9CE9-E342B7FE311E}"/>
              </c:ext>
            </c:extLst>
          </c:dPt>
          <c:cat>
            <c:strRef>
              <c:f>Sheet1!$A$2:$A$3</c:f>
              <c:strCache>
                <c:ptCount val="2"/>
                <c:pt idx="0">
                  <c:v>Male = 59.4%</c:v>
                </c:pt>
                <c:pt idx="1">
                  <c:v>Female = 40.6%</c:v>
                </c:pt>
              </c:strCache>
            </c:strRef>
          </c:cat>
          <c:val>
            <c:numRef>
              <c:f>Sheet1!$B$2:$B$3</c:f>
              <c:numCache>
                <c:formatCode>0.00%</c:formatCode>
                <c:ptCount val="2"/>
                <c:pt idx="0">
                  <c:v>0.59399999999999997</c:v>
                </c:pt>
                <c:pt idx="1">
                  <c:v>0.40600000000000003</c:v>
                </c:pt>
              </c:numCache>
            </c:numRef>
          </c:val>
          <c:extLst>
            <c:ext xmlns:c16="http://schemas.microsoft.com/office/drawing/2014/chart" uri="{C3380CC4-5D6E-409C-BE32-E72D297353CC}">
              <c16:uniqueId val="{00000002-003E-4466-9CE9-E342B7FE311E}"/>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513354462767626"/>
          <c:y val="4.8309178743961352E-2"/>
        </c:manualLayout>
      </c:layout>
      <c:overlay val="0"/>
      <c:txPr>
        <a:bodyPr/>
        <a:lstStyle/>
        <a:p>
          <a:pPr>
            <a:defRPr sz="1000"/>
          </a:pPr>
          <a:endParaRPr lang="en-US"/>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Proportion of Different Genders in Lower Middle Quartile</c:v>
                </c:pt>
              </c:strCache>
            </c:strRef>
          </c:tx>
          <c:spPr>
            <a:solidFill>
              <a:schemeClr val="accent1"/>
            </a:solidFill>
          </c:spPr>
          <c:dPt>
            <c:idx val="1"/>
            <c:bubble3D val="0"/>
            <c:spPr>
              <a:solidFill>
                <a:schemeClr val="accent2">
                  <a:lumMod val="40000"/>
                  <a:lumOff val="60000"/>
                </a:schemeClr>
              </a:solidFill>
            </c:spPr>
            <c:extLst>
              <c:ext xmlns:c16="http://schemas.microsoft.com/office/drawing/2014/chart" uri="{C3380CC4-5D6E-409C-BE32-E72D297353CC}">
                <c16:uniqueId val="{00000001-B31E-49C8-85F3-4D7F34FAB1EC}"/>
              </c:ext>
            </c:extLst>
          </c:dPt>
          <c:cat>
            <c:strRef>
              <c:f>Sheet1!$A$2:$A$3</c:f>
              <c:strCache>
                <c:ptCount val="2"/>
                <c:pt idx="0">
                  <c:v>Male = 61.0%</c:v>
                </c:pt>
                <c:pt idx="1">
                  <c:v>Female = 39.0%</c:v>
                </c:pt>
              </c:strCache>
            </c:strRef>
          </c:cat>
          <c:val>
            <c:numRef>
              <c:f>Sheet1!$B$2:$B$3</c:f>
              <c:numCache>
                <c:formatCode>0.00%</c:formatCode>
                <c:ptCount val="2"/>
                <c:pt idx="0">
                  <c:v>0.61</c:v>
                </c:pt>
                <c:pt idx="1">
                  <c:v>0.39</c:v>
                </c:pt>
              </c:numCache>
            </c:numRef>
          </c:val>
          <c:extLst>
            <c:ext xmlns:c16="http://schemas.microsoft.com/office/drawing/2014/chart" uri="{C3380CC4-5D6E-409C-BE32-E72D297353CC}">
              <c16:uniqueId val="{00000002-B31E-49C8-85F3-4D7F34FAB1EC}"/>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Proportion of Different</a:t>
            </a:r>
            <a:r>
              <a:rPr lang="en-US" sz="1000" baseline="0"/>
              <a:t> Genders in Upper Middle Quartile</a:t>
            </a:r>
            <a:endParaRPr lang="en-US" sz="1000"/>
          </a:p>
        </c:rich>
      </c:tx>
      <c:overlay val="0"/>
      <c:spPr>
        <a:ln>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1"/>
            <c:bubble3D val="0"/>
            <c:spPr>
              <a:solidFill>
                <a:schemeClr val="accent2">
                  <a:lumMod val="40000"/>
                  <a:lumOff val="60000"/>
                </a:schemeClr>
              </a:solidFill>
            </c:spPr>
            <c:extLst>
              <c:ext xmlns:c16="http://schemas.microsoft.com/office/drawing/2014/chart" uri="{C3380CC4-5D6E-409C-BE32-E72D297353CC}">
                <c16:uniqueId val="{00000001-D4BA-4BC6-BE3A-2ADFBCC6F662}"/>
              </c:ext>
            </c:extLst>
          </c:dPt>
          <c:cat>
            <c:strRef>
              <c:f>Sheet1!$A$2:$A$3</c:f>
              <c:strCache>
                <c:ptCount val="2"/>
                <c:pt idx="0">
                  <c:v>Male = 70.5%</c:v>
                </c:pt>
                <c:pt idx="1">
                  <c:v>Female = 29.5%</c:v>
                </c:pt>
              </c:strCache>
            </c:strRef>
          </c:cat>
          <c:val>
            <c:numRef>
              <c:f>Sheet1!$B$2:$B$3</c:f>
              <c:numCache>
                <c:formatCode>0.00%</c:formatCode>
                <c:ptCount val="2"/>
                <c:pt idx="0">
                  <c:v>0.70499999999999996</c:v>
                </c:pt>
                <c:pt idx="1">
                  <c:v>0.29499999999999998</c:v>
                </c:pt>
              </c:numCache>
            </c:numRef>
          </c:val>
          <c:extLst>
            <c:ext xmlns:c16="http://schemas.microsoft.com/office/drawing/2014/chart" uri="{C3380CC4-5D6E-409C-BE32-E72D297353CC}">
              <c16:uniqueId val="{00000002-D4BA-4BC6-BE3A-2ADFBCC6F662}"/>
            </c:ext>
          </c:extLst>
        </c:ser>
        <c:dLbls>
          <c:showLegendKey val="0"/>
          <c:showVal val="0"/>
          <c:showCatName val="0"/>
          <c:showSerName val="0"/>
          <c:showPercent val="0"/>
          <c:showBubbleSize val="0"/>
          <c:showLeaderLines val="1"/>
        </c:dLbls>
      </c:pie3DChart>
      <c:spPr>
        <a:ln>
          <a:noFill/>
        </a:ln>
      </c:spPr>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baseline="0"/>
          </a:pPr>
          <a:endParaRPr lang="en-US"/>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Proportion of Different Genders in Upper Quartile</c:v>
                </c:pt>
              </c:strCache>
            </c:strRef>
          </c:tx>
          <c:spPr>
            <a:solidFill>
              <a:schemeClr val="accent1"/>
            </a:solidFill>
          </c:spPr>
          <c:dPt>
            <c:idx val="1"/>
            <c:bubble3D val="0"/>
            <c:spPr>
              <a:solidFill>
                <a:schemeClr val="accent2">
                  <a:lumMod val="40000"/>
                  <a:lumOff val="60000"/>
                </a:schemeClr>
              </a:solidFill>
            </c:spPr>
            <c:extLst>
              <c:ext xmlns:c16="http://schemas.microsoft.com/office/drawing/2014/chart" uri="{C3380CC4-5D6E-409C-BE32-E72D297353CC}">
                <c16:uniqueId val="{00000001-5BE5-4A47-954D-31FA4C7932D5}"/>
              </c:ext>
            </c:extLst>
          </c:dPt>
          <c:cat>
            <c:strRef>
              <c:f>Sheet1!$A$2:$A$3</c:f>
              <c:strCache>
                <c:ptCount val="2"/>
                <c:pt idx="0">
                  <c:v>Male = 61.9%</c:v>
                </c:pt>
                <c:pt idx="1">
                  <c:v>Female = 38.1%</c:v>
                </c:pt>
              </c:strCache>
            </c:strRef>
          </c:cat>
          <c:val>
            <c:numRef>
              <c:f>Sheet1!$B$2:$B$3</c:f>
              <c:numCache>
                <c:formatCode>0.00%</c:formatCode>
                <c:ptCount val="2"/>
                <c:pt idx="0">
                  <c:v>0.61899999999999999</c:v>
                </c:pt>
                <c:pt idx="1">
                  <c:v>0.38100000000000001</c:v>
                </c:pt>
              </c:numCache>
            </c:numRef>
          </c:val>
          <c:extLst>
            <c:ext xmlns:c16="http://schemas.microsoft.com/office/drawing/2014/chart" uri="{C3380CC4-5D6E-409C-BE32-E72D297353CC}">
              <c16:uniqueId val="{00000002-5BE5-4A47-954D-31FA4C7932D5}"/>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0A35-F968-4DFE-A295-566968A1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Hard Rock International</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 Sarah (HR Europe)</dc:creator>
  <cp:lastModifiedBy>London Sales Coordinator (Magda Lapinska)</cp:lastModifiedBy>
  <cp:revision>2</cp:revision>
  <cp:lastPrinted>2019-10-03T14:32:00Z</cp:lastPrinted>
  <dcterms:created xsi:type="dcterms:W3CDTF">2019-10-24T11:35:00Z</dcterms:created>
  <dcterms:modified xsi:type="dcterms:W3CDTF">2019-10-24T11:35:00Z</dcterms:modified>
</cp:coreProperties>
</file>